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sz w:val="28"/>
        </w:rPr>
        <w:t>Paggamit ng My Number Card bilang Health Insurance Card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Mula Disyembre 2, 2024, sisimulan na ang paggamit ng My Number Card bilang isang health insurance card.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Hindi na rin magbibigay ng bagong card para sa National Health Insurance at Health Care for the Advanced Elderly mula Disyembre 2, 2024.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Ang mga health insurance card na may bisa ng Disyembre 2, 2024 ay maaaring gamitin nang hanggang isang taon.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Ang kasalukuyang ginagamit na "Shizuoka Prefecture National Health Insurance Card" at "Shizuoka Prefecture Advanced Elderly Medical Insurance Card" ay maaaring patuloy na gamitin hanggang Hulyo 31, 2025.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 xml:space="preserve">Kung wala kang My Number Card, maaaring gamitin bilang isang health insurance card ang </w:t>
      </w:r>
      <w:r>
        <w:rPr>
          <w:rFonts w:hint="eastAsia"/>
        </w:rPr>
        <w:t>“</w:t>
      </w:r>
      <w:r>
        <w:rPr>
          <w:rFonts w:hint="eastAsia"/>
        </w:rPr>
        <w:t>Certificate of Eligibility</w:t>
      </w:r>
      <w:r>
        <w:rPr>
          <w:rFonts w:hint="eastAsia"/>
        </w:rPr>
        <w:t>”</w:t>
      </w:r>
      <w:r>
        <w:rPr>
          <w:rFonts w:hint="eastAsia"/>
        </w:rPr>
        <w:t xml:space="preserve"> na ibibigay bilang kapalit ng iyong kasalukuyang health insurance card. (Hindi na kailangan mag-apply).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Sa pamamagitan ng pagpapakita ng certificate of eligibility sa counter ng isang ospital o iba pang institusyon, maaari kang magpatuloy na makatanggap ng medical insurance tulad ng dati.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5539105" cy="205359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539105" cy="205359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Call center para sa My Number (toll-free)</w:t>
                            </w:r>
                          </w:p>
                          <w:p>
                            <w:pPr>
                              <w:pStyle w:val="0"/>
                              <w:ind w:left="0" w:leftChars="0" w:firstLine="1600" w:firstLineChars="400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40"/>
                              </w:rPr>
                              <w:t xml:space="preserve"> 0120-95-0178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Mangyaring buksan ang website sa pamamagitan ng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 xml:space="preserve"> link sa ibaba para sa iba pang mga detalye.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HYPERLINK "https://www.mhlw.go.jp/stf/newpage_08277.html"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Style w:val="17"/>
                                <w:rFonts w:hint="eastAsia" w:ascii="ＭＳ ゴシック" w:hAnsi="ＭＳ ゴシック" w:eastAsia="ＭＳ ゴシック"/>
                                <w:b w:val="1"/>
                                <w:color w:val="2DA7E0"/>
                                <w:sz w:val="24"/>
                              </w:rPr>
                              <w:t>https</w:t>
                            </w:r>
                            <w:r>
                              <w:rPr>
                                <w:rStyle w:val="17"/>
                                <w:rFonts w:hint="eastAsia" w:ascii="ＭＳ ゴシック" w:hAnsi="ＭＳ ゴシック" w:eastAsia="ＭＳ ゴシック"/>
                                <w:color w:val="000000"/>
                                <w:sz w:val="24"/>
                              </w:rPr>
                              <w:t>://www.mhlw.go.jp/stf/newpage_08277.html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.75pt;mso-position-vertical-relative:text;mso-position-horizontal-relative:text;position:absolute;height:161.69pt;mso-wrap-distance-top:0pt;width:436.15pt;mso-wrap-distance-left:16pt;margin-left:0pt;z-index:2;" o:spid="_x0000_s1026" o:allowincell="t" o:allowoverlap="t" filled="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Call center para sa My Number (toll-free)</w:t>
                      </w:r>
                    </w:p>
                    <w:p>
                      <w:pPr>
                        <w:pStyle w:val="0"/>
                        <w:ind w:left="0" w:leftChars="0" w:firstLine="1600" w:firstLineChars="400"/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40"/>
                        </w:rPr>
                        <w:t xml:space="preserve"> 0120-95-0178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Mangyaring buksan ang website sa pamamagitan ng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 xml:space="preserve"> link sa ibaba para sa iba pang mga detalye.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HYPERLINK "https://www.mhlw.go.jp/stf/newpage_08277.html"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Style w:val="17"/>
                          <w:rFonts w:hint="eastAsia" w:ascii="ＭＳ ゴシック" w:hAnsi="ＭＳ ゴシック" w:eastAsia="ＭＳ ゴシック"/>
                          <w:b w:val="1"/>
                          <w:color w:val="2DA7E0"/>
                          <w:sz w:val="24"/>
                        </w:rPr>
                        <w:t>https</w:t>
                      </w:r>
                      <w:r>
                        <w:rPr>
                          <w:rStyle w:val="17"/>
                          <w:rFonts w:hint="eastAsia" w:ascii="ＭＳ ゴシック" w:hAnsi="ＭＳ ゴシック" w:eastAsia="ＭＳ ゴシック"/>
                          <w:color w:val="000000"/>
                          <w:sz w:val="24"/>
                        </w:rPr>
                        <w:t>://www.mhlw.go.jp/stf/newpage_08277.html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89535</wp:posOffset>
                </wp:positionV>
                <wp:extent cx="1407160" cy="137604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407160" cy="137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1252220" cy="1320165"/>
                                  <wp:effectExtent l="0" t="0" r="0" b="0"/>
                                  <wp:docPr id="1028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2220" cy="1320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7.05pt;mso-position-vertical-relative:text;mso-position-horizontal-relative:text;position:absolute;height:108.35pt;mso-wrap-distance-top:0pt;width:110.8pt;mso-wrap-distance-left:16pt;margin-left:319.5pt;z-index:4;" o:spid="_x0000_s1027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1252220" cy="1320165"/>
                            <wp:effectExtent l="0" t="0" r="0" b="0"/>
                            <wp:docPr id="1028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2220" cy="13201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563C1" w:themeColor="hyperlink"/>
      <w:u w:val="singl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920</TotalTime>
  <Pages>1</Pages>
  <Words>187</Words>
  <Characters>1035</Characters>
  <Application>JUST Note</Application>
  <Lines>41</Lines>
  <Paragraphs>12</Paragraphs>
  <CharactersWithSpaces>1204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　晃希</dc:creator>
  <cp:lastModifiedBy>田中　晃希</cp:lastModifiedBy>
  <cp:lastPrinted>2024-11-22T05:28:02Z</cp:lastPrinted>
  <dcterms:created xsi:type="dcterms:W3CDTF">2024-11-01T00:04:00Z</dcterms:created>
  <dcterms:modified xsi:type="dcterms:W3CDTF">2024-11-29T07:59:32Z</dcterms:modified>
  <cp:revision>13</cp:revision>
</cp:coreProperties>
</file>