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Sobre a utilização do Cartão My Number como cartão do seguro</w:t>
      </w:r>
    </w:p>
    <w:p>
      <w:pPr>
        <w:pStyle w:val="0"/>
        <w:ind w:leftChars="0" w:firstLine="0" w:firstLineChars="0"/>
        <w:jc w:val="center"/>
        <w:rPr>
          <w:rFonts w:hint="eastAsia"/>
        </w:rPr>
      </w:pP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>Com o início do sistema de uso do Cartão My Number como cartão de seguro saúde, novos cartões do Sistema de Seguro Nacional de Saúde e do Sistema de Assistência Médica para Idosos com Idade Avançada não serão mais emitidos a partir de 2 de dezembro de 2024.</w:t>
      </w: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 xml:space="preserve">A partir de 2 de dezembro de 2024, os cartões de seguro saúde válidos poderão ser utilizados por até um ano. Já o </w:t>
      </w:r>
      <w:r>
        <w:rPr>
          <w:rFonts w:hint="eastAsia"/>
        </w:rPr>
        <w:t>“</w:t>
      </w:r>
      <w:r>
        <w:rPr>
          <w:rFonts w:hint="eastAsia"/>
        </w:rPr>
        <w:t>Cartão do Seguro Nacional de Saúde da Província de Shizuoka (Shizuoka-ken Kokumin Kenkō Hoken Hihokenshashō)</w:t>
      </w:r>
      <w:r>
        <w:rPr>
          <w:rFonts w:hint="eastAsia"/>
        </w:rPr>
        <w:t>”</w:t>
      </w:r>
      <w:r>
        <w:rPr>
          <w:rFonts w:hint="eastAsia"/>
        </w:rPr>
        <w:t xml:space="preserve"> e o </w:t>
      </w:r>
      <w:r>
        <w:rPr>
          <w:rFonts w:hint="eastAsia"/>
        </w:rPr>
        <w:t>“</w:t>
      </w:r>
      <w:r>
        <w:rPr>
          <w:rFonts w:hint="eastAsia"/>
        </w:rPr>
        <w:t>Cartão de Seguro de Assistência Médica para Idosos com Idade Avançada da Província de Shizuoka (Shizuoka-ken Kōkikōreishairyō Hihokenshashō)</w:t>
      </w:r>
      <w:r>
        <w:rPr>
          <w:rFonts w:hint="eastAsia"/>
        </w:rPr>
        <w:t>”</w:t>
      </w:r>
      <w:r>
        <w:rPr>
          <w:rFonts w:hint="eastAsia"/>
        </w:rPr>
        <w:t xml:space="preserve"> poderão ser utilizados até 31 de julho de 2025.</w:t>
      </w: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>Para aqueles que não possuem um Cartão My Number ou não podem utilizá-lo como cartão de seguro, será emitido um certificado de elegibilidade em substituição ao atual cartão de seguro. (Não será necessário realizar nenhum procedimento). Apresentando o certificado de elegibilidade na recepção dos hospitais, será possível continuar recebendo os cuidados de saúde normalmente.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82310" cy="19367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82310" cy="1936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Central de Atendimento gratuito do My Number</w:t>
                            </w:r>
                          </w:p>
                          <w:p>
                            <w:pPr>
                              <w:pStyle w:val="0"/>
                              <w:ind w:left="0" w:leftChars="0" w:firstLine="1600" w:firstLineChars="4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TEL: 0120-95-0178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Para mais informações, consulte o seguinte URL.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152.5pt;mso-wrap-distance-top:0pt;width:455.3pt;mso-wrap-distance-left:16pt;margin-left:0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Central de Atendimento gratuito do My Number</w:t>
                      </w:r>
                    </w:p>
                    <w:p>
                      <w:pPr>
                        <w:pStyle w:val="0"/>
                        <w:ind w:left="0" w:leftChars="0" w:firstLine="1600" w:firstLineChars="400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TEL: 0120-95-0178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Para mais informações, consulte o seguinte URL.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83820</wp:posOffset>
                </wp:positionV>
                <wp:extent cx="1407160" cy="13760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716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52220" cy="132016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220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6pt;mso-position-vertical-relative:text;mso-position-horizontal-relative:text;position:absolute;height:108.35pt;mso-wrap-distance-top:0pt;width:110.8pt;mso-wrap-distance-left:16pt;margin-left:313.39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252220" cy="132016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220" cy="132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247</Words>
  <Characters>1074</Characters>
  <Application>JUST Note</Application>
  <Lines>40</Lines>
  <Paragraphs>8</Paragraphs>
  <CharactersWithSpaces>1263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晃希</dc:creator>
  <cp:lastModifiedBy>田中　晃希</cp:lastModifiedBy>
  <cp:lastPrinted>2024-11-22T05:28:02Z</cp:lastPrinted>
  <dcterms:created xsi:type="dcterms:W3CDTF">2024-11-01T00:04:00Z</dcterms:created>
  <dcterms:modified xsi:type="dcterms:W3CDTF">2024-12-03T00:23:40Z</dcterms:modified>
  <cp:revision>13</cp:revision>
</cp:coreProperties>
</file>